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DF5" w14:textId="0F831312" w:rsidR="0026066A" w:rsidRPr="0040467C" w:rsidRDefault="0026066A">
      <w:pPr>
        <w:rPr>
          <w:b/>
          <w:bCs/>
        </w:rPr>
      </w:pPr>
      <w:r w:rsidRPr="0040467C">
        <w:rPr>
          <w:b/>
          <w:bCs/>
        </w:rPr>
        <w:t>Lancashire Better Care Fund 2021/22</w:t>
      </w:r>
      <w:r w:rsidR="0040467C">
        <w:rPr>
          <w:b/>
          <w:bCs/>
        </w:rPr>
        <w:t xml:space="preserve"> </w:t>
      </w:r>
      <w:r w:rsidRPr="0040467C">
        <w:rPr>
          <w:b/>
          <w:bCs/>
        </w:rPr>
        <w:t>Year end feedback responses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7703"/>
      </w:tblGrid>
      <w:tr w:rsidR="0026066A" w:rsidRPr="007A3687" w14:paraId="23E711BF" w14:textId="015C7719" w:rsidTr="0040467C">
        <w:trPr>
          <w:trHeight w:val="300"/>
          <w:tblHeader/>
        </w:trPr>
        <w:tc>
          <w:tcPr>
            <w:tcW w:w="5900" w:type="dxa"/>
            <w:hideMark/>
          </w:tcPr>
          <w:p w14:paraId="2DB21547" w14:textId="77777777" w:rsidR="0026066A" w:rsidRPr="007A3687" w:rsidRDefault="0026066A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>Statement:</w:t>
            </w:r>
          </w:p>
        </w:tc>
        <w:tc>
          <w:tcPr>
            <w:tcW w:w="7703" w:type="dxa"/>
          </w:tcPr>
          <w:p w14:paraId="5351AB75" w14:textId="134F4786" w:rsidR="0026066A" w:rsidRPr="007A3687" w:rsidRDefault="0026066A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>Comments</w:t>
            </w:r>
          </w:p>
        </w:tc>
      </w:tr>
      <w:tr w:rsidR="0026066A" w:rsidRPr="0026066A" w14:paraId="15780EE1" w14:textId="7F2B9C3D" w:rsidTr="0040467C">
        <w:trPr>
          <w:trHeight w:val="1200"/>
        </w:trPr>
        <w:tc>
          <w:tcPr>
            <w:tcW w:w="5900" w:type="dxa"/>
            <w:hideMark/>
          </w:tcPr>
          <w:p w14:paraId="72A094C4" w14:textId="77777777" w:rsidR="0026066A" w:rsidRPr="0026066A" w:rsidRDefault="0026066A">
            <w:r w:rsidRPr="0026066A">
              <w:t>1. The overall delivery of the BCF has improved joint working between health and social care in our locality</w:t>
            </w:r>
          </w:p>
        </w:tc>
        <w:tc>
          <w:tcPr>
            <w:tcW w:w="7703" w:type="dxa"/>
          </w:tcPr>
          <w:p w14:paraId="40EB88FC" w14:textId="77777777" w:rsidR="006868D0" w:rsidRDefault="006868D0" w:rsidP="006868D0">
            <w:pPr>
              <w:pStyle w:val="ListParagraph"/>
              <w:numPr>
                <w:ilvl w:val="0"/>
                <w:numId w:val="1"/>
              </w:numPr>
            </w:pPr>
            <w:bookmarkStart w:id="0" w:name="OLE_LINK1"/>
            <w:r>
              <w:t xml:space="preserve">There is a long-standing history of collaboratively working and more so in the past year however, the BCF hasn’t supported this work in isolation to other activity. </w:t>
            </w:r>
          </w:p>
          <w:p w14:paraId="26480B59" w14:textId="2082AFC2" w:rsidR="0026066A" w:rsidRDefault="0026066A" w:rsidP="006868D0">
            <w:pPr>
              <w:pStyle w:val="ListParagraph"/>
              <w:numPr>
                <w:ilvl w:val="0"/>
                <w:numId w:val="1"/>
              </w:numPr>
            </w:pPr>
            <w:r>
              <w:t>Delivery facilitated local health and social care pathway delivery</w:t>
            </w:r>
          </w:p>
          <w:p w14:paraId="34E81CAA" w14:textId="77777777" w:rsidR="0026066A" w:rsidRDefault="0026066A" w:rsidP="006868D0">
            <w:pPr>
              <w:pStyle w:val="ListParagraph"/>
              <w:numPr>
                <w:ilvl w:val="0"/>
                <w:numId w:val="1"/>
              </w:numPr>
            </w:pPr>
            <w:r>
              <w:t>No wrong front door approach</w:t>
            </w:r>
          </w:p>
          <w:p w14:paraId="47A07C99" w14:textId="77777777" w:rsidR="0026066A" w:rsidRDefault="0026066A" w:rsidP="006868D0">
            <w:pPr>
              <w:pStyle w:val="ListParagraph"/>
              <w:numPr>
                <w:ilvl w:val="0"/>
                <w:numId w:val="1"/>
              </w:numPr>
            </w:pPr>
            <w:r>
              <w:t xml:space="preserve">Joint plans </w:t>
            </w:r>
          </w:p>
          <w:p w14:paraId="72D8E76D" w14:textId="51CC9389" w:rsidR="0026066A" w:rsidRDefault="0026066A" w:rsidP="006868D0">
            <w:pPr>
              <w:pStyle w:val="ListParagraph"/>
              <w:numPr>
                <w:ilvl w:val="0"/>
                <w:numId w:val="1"/>
              </w:numPr>
            </w:pPr>
            <w:r>
              <w:t>Integrated health and social care teams working well</w:t>
            </w:r>
          </w:p>
          <w:p w14:paraId="5BB9845B" w14:textId="32D9D236" w:rsidR="006868D0" w:rsidRDefault="006868D0" w:rsidP="006868D0">
            <w:pPr>
              <w:pStyle w:val="ListParagraph"/>
              <w:numPr>
                <w:ilvl w:val="0"/>
                <w:numId w:val="1"/>
              </w:numPr>
            </w:pPr>
            <w:r>
              <w:t>Learning from the COVID pandemic could provide new opportunities, drive integrated working and collaborative practice supported through the BCF.</w:t>
            </w:r>
          </w:p>
          <w:p w14:paraId="3044D559" w14:textId="4339A5D1" w:rsidR="006868D0" w:rsidRDefault="006868D0" w:rsidP="0026066A">
            <w:pPr>
              <w:pStyle w:val="ListParagraph"/>
              <w:numPr>
                <w:ilvl w:val="0"/>
                <w:numId w:val="1"/>
              </w:numPr>
            </w:pPr>
            <w:r w:rsidRPr="00596AA7">
              <w:t>We have increased step up to avoid hospital admission and more timely discharge.  Achieved through working collaboratively through health and social care.</w:t>
            </w:r>
          </w:p>
          <w:bookmarkEnd w:id="0"/>
          <w:p w14:paraId="4715DBAD" w14:textId="77777777" w:rsidR="0026066A" w:rsidRPr="0026066A" w:rsidRDefault="0026066A" w:rsidP="00F7052D"/>
        </w:tc>
      </w:tr>
      <w:tr w:rsidR="0026066A" w:rsidRPr="0026066A" w14:paraId="4E89AB5C" w14:textId="2C995E15" w:rsidTr="0040467C">
        <w:trPr>
          <w:trHeight w:val="1200"/>
        </w:trPr>
        <w:tc>
          <w:tcPr>
            <w:tcW w:w="5900" w:type="dxa"/>
            <w:hideMark/>
          </w:tcPr>
          <w:p w14:paraId="39DF81F7" w14:textId="77777777" w:rsidR="0026066A" w:rsidRPr="0026066A" w:rsidRDefault="0026066A">
            <w:r w:rsidRPr="0026066A">
              <w:t>2. Our BCF schemes were implemented as planned in 2021-22</w:t>
            </w:r>
          </w:p>
        </w:tc>
        <w:tc>
          <w:tcPr>
            <w:tcW w:w="7703" w:type="dxa"/>
          </w:tcPr>
          <w:p w14:paraId="1AE192C4" w14:textId="77777777" w:rsidR="006868D0" w:rsidRDefault="006868D0" w:rsidP="006868D0">
            <w:pPr>
              <w:pStyle w:val="ListParagraph"/>
              <w:numPr>
                <w:ilvl w:val="0"/>
                <w:numId w:val="2"/>
              </w:numPr>
            </w:pPr>
            <w:r>
              <w:t>Consistent funding through BCF has allowed services to develop and grow</w:t>
            </w:r>
          </w:p>
          <w:p w14:paraId="4EB29AD3" w14:textId="1A526B44" w:rsidR="006868D0" w:rsidRDefault="006868D0" w:rsidP="006868D0">
            <w:pPr>
              <w:pStyle w:val="ListParagraph"/>
              <w:numPr>
                <w:ilvl w:val="0"/>
                <w:numId w:val="2"/>
              </w:numPr>
            </w:pPr>
            <w:r>
              <w:t>Schemes from the previous year were rolled forward into 2021-22 and delivered as planned.</w:t>
            </w:r>
          </w:p>
          <w:p w14:paraId="327E3B89" w14:textId="4747377B" w:rsidR="006868D0" w:rsidRDefault="006868D0" w:rsidP="006868D0">
            <w:pPr>
              <w:pStyle w:val="ListParagraph"/>
              <w:numPr>
                <w:ilvl w:val="0"/>
                <w:numId w:val="2"/>
              </w:numPr>
            </w:pPr>
            <w:r w:rsidRPr="00294974">
              <w:t>Where possible, we stayed true to all BCF delivery.</w:t>
            </w:r>
          </w:p>
          <w:p w14:paraId="4F642356" w14:textId="5E4A4FAF" w:rsidR="006868D0" w:rsidRDefault="006868D0" w:rsidP="006868D0">
            <w:pPr>
              <w:pStyle w:val="ListParagraph"/>
              <w:numPr>
                <w:ilvl w:val="0"/>
                <w:numId w:val="2"/>
              </w:numPr>
            </w:pPr>
            <w:r>
              <w:t xml:space="preserve">It has </w:t>
            </w:r>
            <w:r w:rsidRPr="00294974">
              <w:t>ensured consistency of delivery and provided a degree of stability for the relevant services, encouraging opportunities for the integration of health and social care. A number of these services will form the foundation for upcoming and ongoing developments such as 2-hour Urgent Community Response, Enhanced Health in Care Homes and the Hospital Discharge and Community Support: Policy and Operating Model, amongst others.</w:t>
            </w:r>
          </w:p>
          <w:p w14:paraId="1B38DD45" w14:textId="77777777" w:rsidR="006868D0" w:rsidRDefault="006868D0" w:rsidP="006868D0">
            <w:pPr>
              <w:pStyle w:val="ListParagraph"/>
              <w:numPr>
                <w:ilvl w:val="0"/>
                <w:numId w:val="2"/>
              </w:numPr>
            </w:pPr>
            <w:r>
              <w:t>All schemes within BCF are around integration of health and social care which has been invaluable though the year in supporting services.</w:t>
            </w:r>
          </w:p>
          <w:p w14:paraId="12BB0421" w14:textId="7CE67502" w:rsidR="0040467C" w:rsidRPr="0026066A" w:rsidRDefault="006868D0" w:rsidP="0040467C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294974">
              <w:t>ressures related to omicron. national legislation and subsequent changes, especially in social care impacted on service provision.</w:t>
            </w:r>
          </w:p>
        </w:tc>
      </w:tr>
      <w:tr w:rsidR="0026066A" w:rsidRPr="0026066A" w14:paraId="49CDDBB4" w14:textId="2B9A17D1" w:rsidTr="0040467C">
        <w:trPr>
          <w:trHeight w:val="1200"/>
        </w:trPr>
        <w:tc>
          <w:tcPr>
            <w:tcW w:w="5900" w:type="dxa"/>
            <w:hideMark/>
          </w:tcPr>
          <w:p w14:paraId="127FBEF8" w14:textId="77777777" w:rsidR="0026066A" w:rsidRPr="0026066A" w:rsidRDefault="0026066A">
            <w:r w:rsidRPr="0026066A">
              <w:lastRenderedPageBreak/>
              <w:t>3. The delivery of our BCF plan in 2021-22 had a positive impact on the integration of health and social care in our locality</w:t>
            </w:r>
          </w:p>
        </w:tc>
        <w:tc>
          <w:tcPr>
            <w:tcW w:w="7703" w:type="dxa"/>
          </w:tcPr>
          <w:p w14:paraId="0E4007C4" w14:textId="73727595" w:rsidR="006868D0" w:rsidRDefault="006868D0" w:rsidP="006868D0">
            <w:pPr>
              <w:pStyle w:val="ListParagraph"/>
              <w:numPr>
                <w:ilvl w:val="0"/>
                <w:numId w:val="3"/>
              </w:numPr>
            </w:pPr>
            <w:r>
              <w:t xml:space="preserve">An </w:t>
            </w:r>
            <w:r w:rsidRPr="00353319">
              <w:t>enabler across several key areas including Neighbourhoods, wider community support, hospital discharge and intermediate care.</w:t>
            </w:r>
          </w:p>
          <w:p w14:paraId="0915C826" w14:textId="7A8EC7BA" w:rsidR="006868D0" w:rsidRDefault="006868D0" w:rsidP="00B31B7C">
            <w:pPr>
              <w:pStyle w:val="ListParagraph"/>
              <w:numPr>
                <w:ilvl w:val="0"/>
                <w:numId w:val="3"/>
              </w:numPr>
            </w:pPr>
            <w:r w:rsidRPr="005B2DC6">
              <w:t xml:space="preserve">Regular communications between CCG, </w:t>
            </w:r>
            <w:r>
              <w:t>Acute Trusts</w:t>
            </w:r>
            <w:r w:rsidRPr="005B2DC6">
              <w:t xml:space="preserve"> and LCC </w:t>
            </w:r>
            <w:r>
              <w:t>have assisted in</w:t>
            </w:r>
            <w:r w:rsidRPr="005B2DC6">
              <w:t xml:space="preserve"> implementation</w:t>
            </w:r>
            <w:r>
              <w:t xml:space="preserve"> </w:t>
            </w:r>
            <w:r w:rsidRPr="005B2DC6">
              <w:t>of BCF schemes.</w:t>
            </w:r>
          </w:p>
          <w:p w14:paraId="51907EBF" w14:textId="4976ADF0" w:rsidR="0026066A" w:rsidRPr="0026066A" w:rsidRDefault="0026066A"/>
        </w:tc>
      </w:tr>
    </w:tbl>
    <w:p w14:paraId="668919A7" w14:textId="3023BF3F" w:rsidR="00BE18CE" w:rsidRDefault="00BE18CE"/>
    <w:p w14:paraId="666C8E8E" w14:textId="6DA5C00A" w:rsidR="0040467C" w:rsidRDefault="0040467C"/>
    <w:p w14:paraId="40A948B4" w14:textId="77777777" w:rsidR="003F7EBB" w:rsidRDefault="003F7EBB" w:rsidP="003F7EBB">
      <w:r>
        <w:t>For Successes and Challenges respondents were asked to categorise each response under one of the following categories: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F7EBB" w:rsidRPr="00B20109" w14:paraId="5724ECCC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EF3E" w14:textId="3946B204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1. Local contextual factors (</w:t>
            </w:r>
            <w:r w:rsidR="00353B4E"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e.g.,</w:t>
            </w: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financial health, funding arrangements, demographics, urban vs rural factors)</w:t>
            </w:r>
          </w:p>
        </w:tc>
      </w:tr>
      <w:tr w:rsidR="003F7EBB" w:rsidRPr="00B20109" w14:paraId="2F151B50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EB1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2. Strong, system-wide governance and systems leadership</w:t>
            </w:r>
          </w:p>
        </w:tc>
      </w:tr>
      <w:tr w:rsidR="003F7EBB" w:rsidRPr="00B20109" w14:paraId="50920D98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BD3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3. Integrated electronic records and sharing across the system with service users</w:t>
            </w:r>
          </w:p>
        </w:tc>
      </w:tr>
      <w:tr w:rsidR="003F7EBB" w:rsidRPr="00B20109" w14:paraId="0C4DEA8D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684C" w14:textId="39355529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 Empowering users to have choice and control through an </w:t>
            </w:r>
            <w:r w:rsidR="00353B4E"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asset-based</w:t>
            </w: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approach, shared decision making and co-production</w:t>
            </w:r>
          </w:p>
        </w:tc>
      </w:tr>
      <w:tr w:rsidR="003F7EBB" w:rsidRPr="00B20109" w14:paraId="442B3C6B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CE1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5. Integrated workforce: joint approach to training and upskilling of workforce</w:t>
            </w:r>
          </w:p>
        </w:tc>
      </w:tr>
      <w:tr w:rsidR="003F7EBB" w:rsidRPr="00B20109" w14:paraId="748A011D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60E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6. Good quality and sustainable provider market that can meet demand</w:t>
            </w:r>
          </w:p>
        </w:tc>
      </w:tr>
      <w:tr w:rsidR="003F7EBB" w:rsidRPr="00B20109" w14:paraId="2284891A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10E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7. Joined-up regulatory approach</w:t>
            </w:r>
          </w:p>
        </w:tc>
      </w:tr>
      <w:tr w:rsidR="003F7EBB" w:rsidRPr="00B20109" w14:paraId="15B34218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7D64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8. Pooled or aligned resources</w:t>
            </w:r>
          </w:p>
        </w:tc>
      </w:tr>
      <w:tr w:rsidR="003F7EBB" w:rsidRPr="00B20109" w14:paraId="7A03065E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140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9. Joint commissioning of health and social care</w:t>
            </w:r>
          </w:p>
        </w:tc>
      </w:tr>
      <w:tr w:rsidR="003F7EBB" w:rsidRPr="00B20109" w14:paraId="7B75FD44" w14:textId="77777777" w:rsidTr="00FA546C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759" w14:textId="77777777" w:rsidR="003F7EBB" w:rsidRPr="00B20109" w:rsidRDefault="003F7EBB" w:rsidP="00FA54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20109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</w:tbl>
    <w:p w14:paraId="7D22F1F5" w14:textId="77777777" w:rsidR="003F7EBB" w:rsidRDefault="003F7E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773"/>
      </w:tblGrid>
      <w:tr w:rsidR="0040467C" w:rsidRPr="0040467C" w14:paraId="6FD74F79" w14:textId="4F07F5FC" w:rsidTr="0040467C">
        <w:trPr>
          <w:trHeight w:val="1500"/>
        </w:trPr>
        <w:tc>
          <w:tcPr>
            <w:tcW w:w="2689" w:type="dxa"/>
            <w:noWrap/>
            <w:hideMark/>
          </w:tcPr>
          <w:p w14:paraId="4C338738" w14:textId="18D9ED51" w:rsidR="0040467C" w:rsidRPr="007A3687" w:rsidRDefault="0040467C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>Successes</w:t>
            </w:r>
          </w:p>
        </w:tc>
        <w:tc>
          <w:tcPr>
            <w:tcW w:w="10773" w:type="dxa"/>
          </w:tcPr>
          <w:p w14:paraId="711FDF53" w14:textId="77777777" w:rsidR="0040467C" w:rsidRPr="004652FE" w:rsidRDefault="004652FE">
            <w:pPr>
              <w:rPr>
                <w:b/>
                <w:bCs/>
              </w:rPr>
            </w:pPr>
            <w:r w:rsidRPr="004652FE">
              <w:rPr>
                <w:b/>
                <w:bCs/>
              </w:rPr>
              <w:t>Local contextual factors</w:t>
            </w:r>
          </w:p>
          <w:p w14:paraId="5B2B1908" w14:textId="48B3A9A7" w:rsidR="00904ECB" w:rsidRPr="00904ECB" w:rsidRDefault="00904ECB" w:rsidP="00BA6C7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904ECB">
              <w:t>Development of the ICS Discharge to Assess Financial management group which has put good govern</w:t>
            </w:r>
            <w:r>
              <w:t>an</w:t>
            </w:r>
            <w:r w:rsidRPr="00904ECB">
              <w:t>ce around the spend and is evolving to incorporate all areas of health and social care financial interface</w:t>
            </w:r>
          </w:p>
          <w:p w14:paraId="01462952" w14:textId="510C2D1A" w:rsidR="004652FE" w:rsidRPr="007A3687" w:rsidRDefault="004652FE" w:rsidP="00BA6C7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Remote working has enabled better communication between health and social care.</w:t>
            </w:r>
          </w:p>
          <w:p w14:paraId="14D1798C" w14:textId="78A4B4BA" w:rsidR="004652FE" w:rsidRPr="004652FE" w:rsidRDefault="004652FE">
            <w:r w:rsidRPr="004652FE">
              <w:rPr>
                <w:b/>
                <w:bCs/>
              </w:rPr>
              <w:t>Strong, system-wide governance and systems leadership</w:t>
            </w:r>
          </w:p>
          <w:p w14:paraId="49C1E631" w14:textId="69154E1D" w:rsidR="004652FE" w:rsidRDefault="004652FE" w:rsidP="007A3687">
            <w:pPr>
              <w:pStyle w:val="ListParagraph"/>
              <w:numPr>
                <w:ilvl w:val="0"/>
                <w:numId w:val="5"/>
              </w:numPr>
            </w:pPr>
            <w:r w:rsidRPr="004652FE">
              <w:t>We have increased step up to avoid hospital admission and more timely discharge.  Achieved through working collaboratively through health and social care.</w:t>
            </w:r>
          </w:p>
          <w:p w14:paraId="71A57C87" w14:textId="62CE91BF" w:rsidR="004652FE" w:rsidRDefault="004652FE" w:rsidP="007A3687">
            <w:pPr>
              <w:pStyle w:val="ListParagraph"/>
              <w:numPr>
                <w:ilvl w:val="0"/>
                <w:numId w:val="5"/>
              </w:numPr>
            </w:pPr>
            <w:r w:rsidRPr="00FD6015">
              <w:t xml:space="preserve">The formation of the local governance structures has enabled a joint vision </w:t>
            </w:r>
            <w:proofErr w:type="gramStart"/>
            <w:r w:rsidRPr="00FD6015">
              <w:t>an</w:t>
            </w:r>
            <w:proofErr w:type="gramEnd"/>
            <w:r w:rsidRPr="00FD6015">
              <w:t xml:space="preserve"> focus.  </w:t>
            </w:r>
          </w:p>
          <w:p w14:paraId="683C0F81" w14:textId="14D97C35" w:rsidR="007A3687" w:rsidRDefault="007A3687" w:rsidP="007A3687">
            <w:pPr>
              <w:pStyle w:val="ListParagraph"/>
              <w:numPr>
                <w:ilvl w:val="0"/>
                <w:numId w:val="5"/>
              </w:numPr>
            </w:pPr>
            <w:r>
              <w:t xml:space="preserve">Supporting electronic record development and sharing </w:t>
            </w:r>
            <w:proofErr w:type="gramStart"/>
            <w:r>
              <w:t>e.g.</w:t>
            </w:r>
            <w:proofErr w:type="gramEnd"/>
            <w:r>
              <w:t xml:space="preserve"> Trusted Assessment Document </w:t>
            </w:r>
          </w:p>
          <w:p w14:paraId="2B3B3223" w14:textId="549A05DB" w:rsidR="007A3687" w:rsidRDefault="007A3687" w:rsidP="003A08B0">
            <w:pPr>
              <w:pStyle w:val="ListParagraph"/>
              <w:numPr>
                <w:ilvl w:val="0"/>
                <w:numId w:val="5"/>
              </w:numPr>
            </w:pPr>
            <w:r w:rsidRPr="007A3687">
              <w:t>This new electronic TAD will minimise the challenges we currently manage with the paper handwritten version.</w:t>
            </w:r>
          </w:p>
          <w:p w14:paraId="7162AD76" w14:textId="29D72192" w:rsidR="004652FE" w:rsidRDefault="007A3687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 xml:space="preserve">Empowering users to have choice and control through an </w:t>
            </w:r>
            <w:proofErr w:type="gramStart"/>
            <w:r w:rsidRPr="007A3687">
              <w:rPr>
                <w:b/>
                <w:bCs/>
              </w:rPr>
              <w:t>asset based</w:t>
            </w:r>
            <w:proofErr w:type="gramEnd"/>
            <w:r w:rsidRPr="007A3687">
              <w:rPr>
                <w:b/>
                <w:bCs/>
              </w:rPr>
              <w:t xml:space="preserve"> approach, shared decision making and co-production</w:t>
            </w:r>
          </w:p>
          <w:p w14:paraId="3D2FB807" w14:textId="2CAF93EC" w:rsidR="007A3687" w:rsidRDefault="007A3687" w:rsidP="007A3687">
            <w:pPr>
              <w:pStyle w:val="ListParagraph"/>
              <w:numPr>
                <w:ilvl w:val="0"/>
                <w:numId w:val="6"/>
              </w:numPr>
            </w:pPr>
            <w:r w:rsidRPr="007A3687">
              <w:t xml:space="preserve">Development of the Hospital Discharge Home Recovery scheme which aims to support people and </w:t>
            </w:r>
            <w:r w:rsidR="0085205A" w:rsidRPr="007A3687">
              <w:t>their</w:t>
            </w:r>
            <w:r w:rsidRPr="007A3687">
              <w:t xml:space="preserve"> informal carers, has improved choice and control for </w:t>
            </w:r>
            <w:proofErr w:type="gramStart"/>
            <w:r w:rsidRPr="007A3687">
              <w:t>people,  influenced</w:t>
            </w:r>
            <w:proofErr w:type="gramEnd"/>
            <w:r w:rsidRPr="007A3687">
              <w:t xml:space="preserve"> national policy and guidance and raised the profile and importance of informal carers (shortlisted for LGC Award 2022</w:t>
            </w:r>
          </w:p>
          <w:p w14:paraId="1A0124A3" w14:textId="447BEF8B" w:rsidR="007A3687" w:rsidRPr="007A3687" w:rsidRDefault="007A3687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>Pooled or aligned resources</w:t>
            </w:r>
          </w:p>
          <w:p w14:paraId="1B41806E" w14:textId="5794BFFD" w:rsidR="007A3687" w:rsidRPr="007A3687" w:rsidRDefault="007A3687" w:rsidP="007D4225">
            <w:pPr>
              <w:pStyle w:val="ListParagraph"/>
              <w:numPr>
                <w:ilvl w:val="0"/>
                <w:numId w:val="6"/>
              </w:numPr>
            </w:pPr>
            <w:r w:rsidRPr="0040680D">
              <w:t xml:space="preserve">Being able to </w:t>
            </w:r>
            <w:r>
              <w:t>- to work across a footprint with - separate BCFs, - separate Local Authorities and - separate community health providers to deliver a role that serves not only to better integrate health and social care services, but also to ensure consistency and equity of service for our residents such as a dedicated Home First Transport Coordinator.</w:t>
            </w:r>
          </w:p>
          <w:p w14:paraId="7F74947E" w14:textId="72E1568A" w:rsidR="004652FE" w:rsidRPr="0040467C" w:rsidRDefault="004652FE"/>
        </w:tc>
      </w:tr>
      <w:tr w:rsidR="007A3687" w:rsidRPr="0040467C" w14:paraId="2F77DC2D" w14:textId="77777777" w:rsidTr="00FA546C">
        <w:trPr>
          <w:trHeight w:val="1500"/>
        </w:trPr>
        <w:tc>
          <w:tcPr>
            <w:tcW w:w="2689" w:type="dxa"/>
            <w:noWrap/>
            <w:hideMark/>
          </w:tcPr>
          <w:p w14:paraId="278F542E" w14:textId="1C1A7449" w:rsidR="007A3687" w:rsidRPr="007A3687" w:rsidRDefault="007A3687" w:rsidP="00FA546C">
            <w:pPr>
              <w:rPr>
                <w:b/>
                <w:bCs/>
              </w:rPr>
            </w:pPr>
            <w:r w:rsidRPr="007A3687">
              <w:rPr>
                <w:b/>
                <w:bCs/>
              </w:rPr>
              <w:t>Challenges</w:t>
            </w:r>
          </w:p>
        </w:tc>
        <w:tc>
          <w:tcPr>
            <w:tcW w:w="10773" w:type="dxa"/>
          </w:tcPr>
          <w:p w14:paraId="409D3F7A" w14:textId="2F8038EC" w:rsidR="007A3687" w:rsidRDefault="007A3687" w:rsidP="00FA546C">
            <w:pPr>
              <w:rPr>
                <w:b/>
                <w:bCs/>
              </w:rPr>
            </w:pPr>
            <w:r w:rsidRPr="004652FE">
              <w:rPr>
                <w:b/>
                <w:bCs/>
              </w:rPr>
              <w:t>Local contextual factors</w:t>
            </w:r>
          </w:p>
          <w:p w14:paraId="651473A0" w14:textId="0CE36909" w:rsidR="00904ECB" w:rsidRDefault="00904ECB" w:rsidP="00904ECB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 number of</w:t>
            </w:r>
            <w:proofErr w:type="gramEnd"/>
            <w:r>
              <w:t xml:space="preserve"> schemes have been supported due to short term funding.  This has at times meant there is a reliance on short term workforce and agency staffing.  </w:t>
            </w:r>
          </w:p>
          <w:p w14:paraId="26A159A1" w14:textId="77777777" w:rsidR="00970ECA" w:rsidRDefault="00904ECB" w:rsidP="00451C5D">
            <w:pPr>
              <w:pStyle w:val="ListParagraph"/>
              <w:numPr>
                <w:ilvl w:val="0"/>
                <w:numId w:val="6"/>
              </w:numPr>
            </w:pPr>
            <w:r w:rsidRPr="00904ECB">
              <w:t xml:space="preserve">For some Estates issues have delayed co-location of services, which is required for further integration of pathways.  </w:t>
            </w:r>
          </w:p>
          <w:p w14:paraId="76E0E7BB" w14:textId="11EA87C1" w:rsidR="00360B25" w:rsidRDefault="00970ECA" w:rsidP="00B84540">
            <w:pPr>
              <w:pStyle w:val="ListParagraph"/>
              <w:numPr>
                <w:ilvl w:val="0"/>
                <w:numId w:val="6"/>
              </w:numPr>
            </w:pPr>
            <w:r>
              <w:t xml:space="preserve">Impact of covid across all areas but impacting more in some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A801A9">
              <w:t>Pennine Lancashire CCG and ELHT will have been the ‘most Covid impacted’ NHS footprints in the UK over the last two years.</w:t>
            </w:r>
          </w:p>
          <w:p w14:paraId="643BD80A" w14:textId="77777777" w:rsidR="007A3687" w:rsidRPr="004652FE" w:rsidRDefault="007A3687" w:rsidP="00FA546C">
            <w:r w:rsidRPr="004652FE">
              <w:rPr>
                <w:b/>
                <w:bCs/>
              </w:rPr>
              <w:t>Strong, system-wide governance and systems leadership</w:t>
            </w:r>
          </w:p>
          <w:p w14:paraId="1E997B21" w14:textId="77777777" w:rsidR="00904ECB" w:rsidRDefault="00904ECB" w:rsidP="00904ECB">
            <w:pPr>
              <w:pStyle w:val="ListParagraph"/>
              <w:numPr>
                <w:ilvl w:val="0"/>
                <w:numId w:val="7"/>
              </w:numPr>
            </w:pPr>
            <w:r w:rsidRPr="00C56921">
              <w:t>Integrated electronic records and sharing across the system with service users</w:t>
            </w:r>
          </w:p>
          <w:p w14:paraId="1788551C" w14:textId="77777777" w:rsidR="008A38E8" w:rsidRDefault="008A38E8" w:rsidP="008A38E8"/>
          <w:p w14:paraId="6D9CBBE0" w14:textId="77777777" w:rsidR="007A3687" w:rsidRDefault="008A38E8" w:rsidP="008A38E8">
            <w:pPr>
              <w:rPr>
                <w:b/>
                <w:bCs/>
              </w:rPr>
            </w:pPr>
            <w:r w:rsidRPr="008A38E8">
              <w:rPr>
                <w:b/>
                <w:bCs/>
              </w:rPr>
              <w:t>Good quality and sustainable provider market that can meet demand</w:t>
            </w:r>
            <w:r w:rsidRPr="008A38E8">
              <w:rPr>
                <w:b/>
                <w:bCs/>
              </w:rPr>
              <w:tab/>
              <w:t>"Domiciliary care market challenges</w:t>
            </w:r>
          </w:p>
          <w:p w14:paraId="49421666" w14:textId="77777777" w:rsidR="00360B25" w:rsidRDefault="00360B25" w:rsidP="00360B25">
            <w:pPr>
              <w:pStyle w:val="ListParagraph"/>
              <w:numPr>
                <w:ilvl w:val="0"/>
                <w:numId w:val="7"/>
              </w:numPr>
            </w:pPr>
            <w:r>
              <w:t>Recruitment challenges and staffing shortages; recruitment is currently very difficult</w:t>
            </w:r>
          </w:p>
          <w:p w14:paraId="07621FB3" w14:textId="2F6D1731" w:rsidR="00360B25" w:rsidRDefault="00360B25" w:rsidP="00360B25">
            <w:pPr>
              <w:pStyle w:val="ListParagraph"/>
              <w:numPr>
                <w:ilvl w:val="1"/>
                <w:numId w:val="7"/>
              </w:numPr>
            </w:pPr>
            <w:r>
              <w:t>Inability to attract and retain staff</w:t>
            </w:r>
          </w:p>
          <w:p w14:paraId="5A66C4EE" w14:textId="5C6C77D0" w:rsidR="00360B25" w:rsidRDefault="00360B25" w:rsidP="00360B25">
            <w:pPr>
              <w:pStyle w:val="ListParagraph"/>
              <w:numPr>
                <w:ilvl w:val="1"/>
                <w:numId w:val="7"/>
              </w:numPr>
            </w:pPr>
            <w:r>
              <w:t>Impact of Omicron, test and trace/isolation periods etc. significantly impacted care market capacity at key times</w:t>
            </w:r>
          </w:p>
          <w:p w14:paraId="339DD36D" w14:textId="40F29748" w:rsidR="00360B25" w:rsidRDefault="00360B25" w:rsidP="00360B25">
            <w:pPr>
              <w:pStyle w:val="ListParagraph"/>
              <w:numPr>
                <w:ilvl w:val="1"/>
                <w:numId w:val="7"/>
              </w:numPr>
            </w:pPr>
            <w:r>
              <w:t>Challenges with succession planning and career progression across many health and care areas</w:t>
            </w:r>
          </w:p>
          <w:p w14:paraId="6963A9D9" w14:textId="75BF85FD" w:rsidR="00360B25" w:rsidRPr="009D386F" w:rsidRDefault="00360B25" w:rsidP="00353B4E">
            <w:pPr>
              <w:pStyle w:val="ListParagraph"/>
              <w:numPr>
                <w:ilvl w:val="0"/>
                <w:numId w:val="7"/>
              </w:numPr>
            </w:pPr>
            <w:r>
              <w:t>- Constrained workforce particularly in more rural areas "</w:t>
            </w:r>
          </w:p>
        </w:tc>
      </w:tr>
    </w:tbl>
    <w:p w14:paraId="132E5C70" w14:textId="77777777" w:rsidR="00B20109" w:rsidRDefault="00B20109"/>
    <w:sectPr w:rsidR="00B20109" w:rsidSect="002606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0459" w14:textId="77777777" w:rsidR="003665DD" w:rsidRDefault="003665DD" w:rsidP="0040467C">
      <w:pPr>
        <w:spacing w:after="0" w:line="240" w:lineRule="auto"/>
      </w:pPr>
      <w:r>
        <w:separator/>
      </w:r>
    </w:p>
  </w:endnote>
  <w:endnote w:type="continuationSeparator" w:id="0">
    <w:p w14:paraId="60545BEB" w14:textId="77777777" w:rsidR="003665DD" w:rsidRDefault="003665DD" w:rsidP="0040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7981" w14:textId="77777777" w:rsidR="003665DD" w:rsidRDefault="003665DD" w:rsidP="0040467C">
      <w:pPr>
        <w:spacing w:after="0" w:line="240" w:lineRule="auto"/>
      </w:pPr>
      <w:r>
        <w:separator/>
      </w:r>
    </w:p>
  </w:footnote>
  <w:footnote w:type="continuationSeparator" w:id="0">
    <w:p w14:paraId="2CD75CB5" w14:textId="77777777" w:rsidR="003665DD" w:rsidRDefault="003665DD" w:rsidP="0040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1EF3" w14:textId="617A8FD4" w:rsidR="0040467C" w:rsidRPr="0040467C" w:rsidRDefault="0040467C">
    <w:pPr>
      <w:pStyle w:val="Header"/>
      <w:rPr>
        <w:b/>
        <w:bCs/>
      </w:rPr>
    </w:pPr>
    <w:r w:rsidRPr="0040467C">
      <w:rPr>
        <w:b/>
        <w:bCs/>
      </w:rPr>
      <w:t xml:space="preserve">Appendix </w:t>
    </w:r>
    <w:r w:rsidR="00F7052D"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25"/>
    <w:multiLevelType w:val="hybridMultilevel"/>
    <w:tmpl w:val="2A1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055"/>
    <w:multiLevelType w:val="hybridMultilevel"/>
    <w:tmpl w:val="FE62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1DA"/>
    <w:multiLevelType w:val="hybridMultilevel"/>
    <w:tmpl w:val="60B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259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081A"/>
    <w:multiLevelType w:val="hybridMultilevel"/>
    <w:tmpl w:val="EED8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473E1"/>
    <w:multiLevelType w:val="hybridMultilevel"/>
    <w:tmpl w:val="B0E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127A"/>
    <w:multiLevelType w:val="hybridMultilevel"/>
    <w:tmpl w:val="F71C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63FE"/>
    <w:multiLevelType w:val="hybridMultilevel"/>
    <w:tmpl w:val="AAA6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6A"/>
    <w:rsid w:val="0026066A"/>
    <w:rsid w:val="00353B4E"/>
    <w:rsid w:val="00360B25"/>
    <w:rsid w:val="003665DD"/>
    <w:rsid w:val="003F7EBB"/>
    <w:rsid w:val="0040467C"/>
    <w:rsid w:val="004652FE"/>
    <w:rsid w:val="006868D0"/>
    <w:rsid w:val="007A3687"/>
    <w:rsid w:val="0085205A"/>
    <w:rsid w:val="008A38E8"/>
    <w:rsid w:val="00904ECB"/>
    <w:rsid w:val="00970ECA"/>
    <w:rsid w:val="009D386F"/>
    <w:rsid w:val="00B20109"/>
    <w:rsid w:val="00BE18CE"/>
    <w:rsid w:val="00D36460"/>
    <w:rsid w:val="00F7052D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32FF"/>
  <w15:chartTrackingRefBased/>
  <w15:docId w15:val="{804A9430-CC47-4371-9568-3AF6203F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7C"/>
  </w:style>
  <w:style w:type="paragraph" w:styleId="Footer">
    <w:name w:val="footer"/>
    <w:basedOn w:val="Normal"/>
    <w:link w:val="FooterChar"/>
    <w:uiPriority w:val="99"/>
    <w:unhideWhenUsed/>
    <w:rsid w:val="0040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(Christopher)</dc:creator>
  <cp:keywords/>
  <dc:description/>
  <cp:lastModifiedBy>Gorton, Sam</cp:lastModifiedBy>
  <cp:revision>12</cp:revision>
  <dcterms:created xsi:type="dcterms:W3CDTF">2022-04-29T09:26:00Z</dcterms:created>
  <dcterms:modified xsi:type="dcterms:W3CDTF">2022-04-29T11:57:00Z</dcterms:modified>
</cp:coreProperties>
</file>